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57" w:after="57"/>
        <w:jc w:val="center"/>
        <w:rPr>
          <w:rFonts w:ascii="Verdana" w:hAnsi="Verdana"/>
          <w:sz w:val="20"/>
          <w:szCs w:val="20"/>
        </w:rPr>
      </w:pPr>
      <w:r>
        <w:rPr>
          <w:rFonts w:cs="Arial" w:ascii="Verdana" w:hAnsi="Verdana"/>
          <w:b/>
          <w:bCs/>
          <w:smallCaps/>
          <w:color w:val="000000"/>
          <w:sz w:val="20"/>
          <w:szCs w:val="20"/>
        </w:rPr>
        <w:t xml:space="preserve">MINUTA DE EDITAL </w:t>
      </w:r>
    </w:p>
    <w:p>
      <w:pPr>
        <w:pStyle w:val="Normal"/>
        <w:spacing w:before="57" w:after="57"/>
        <w:jc w:val="center"/>
        <w:rPr>
          <w:rFonts w:ascii="Verdana" w:hAnsi="Verdana"/>
          <w:sz w:val="20"/>
          <w:szCs w:val="20"/>
        </w:rPr>
      </w:pPr>
      <w:r>
        <w:rPr>
          <w:rFonts w:cs="Arial" w:ascii="Verdana" w:hAnsi="Verdana"/>
          <w:b/>
          <w:bCs/>
          <w:smallCaps/>
          <w:color w:val="000000"/>
          <w:sz w:val="20"/>
          <w:szCs w:val="20"/>
        </w:rPr>
        <w:t>PREGÃO ELETRÔNICO Nº 030/2026</w:t>
      </w:r>
    </w:p>
    <w:p>
      <w:pPr>
        <w:pStyle w:val="Normal"/>
        <w:spacing w:before="57" w:after="57"/>
        <w:jc w:val="center"/>
        <w:rPr>
          <w:rFonts w:ascii="Verdana" w:hAnsi="Verdana"/>
          <w:sz w:val="20"/>
          <w:szCs w:val="20"/>
        </w:rPr>
      </w:pPr>
      <w:r>
        <w:rPr>
          <w:rFonts w:cs="Arial" w:ascii="Verdana" w:hAnsi="Verdana"/>
          <w:b/>
          <w:bCs/>
          <w:smallCaps/>
          <w:color w:val="000000"/>
          <w:sz w:val="20"/>
          <w:szCs w:val="20"/>
        </w:rPr>
        <w:t>(Processo Administrativo n° 2238/2026 de 26/03/2026)</w:t>
      </w:r>
    </w:p>
    <w:p>
      <w:pPr>
        <w:pStyle w:val="Normal"/>
        <w:spacing w:before="57" w:after="57"/>
        <w:jc w:val="center"/>
        <w:rPr>
          <w:rFonts w:ascii="Verdana" w:hAnsi="Verdana"/>
          <w:sz w:val="20"/>
          <w:szCs w:val="20"/>
        </w:rPr>
      </w:pPr>
      <w:r>
        <w:rPr>
          <w:rFonts w:ascii="Verdana" w:hAnsi="Verdana"/>
          <w:sz w:val="20"/>
          <w:szCs w:val="20"/>
        </w:rPr>
      </w:r>
    </w:p>
    <w:p>
      <w:pPr>
        <w:pStyle w:val="BodyText"/>
        <w:spacing w:before="0" w:after="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jc w:val="both"/>
        <w:rPr>
          <w:rFonts w:ascii="Verdana" w:hAnsi="Verdana" w:cs="Arial"/>
          <w:b/>
          <w:bCs/>
          <w:color w:val="000000"/>
          <w:sz w:val="20"/>
          <w:szCs w:val="20"/>
        </w:rPr>
      </w:pPr>
      <w:r>
        <w:rPr>
          <w:rFonts w:cs="Arial" w:ascii="Verdana" w:hAnsi="Verdana"/>
          <w:b/>
          <w:bCs/>
          <w:color w:val="000000"/>
          <w:sz w:val="20"/>
          <w:szCs w:val="20"/>
        </w:rPr>
      </w:r>
    </w:p>
    <w:p>
      <w:pPr>
        <w:pStyle w:val="Normal"/>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02/09</w:t>
      </w:r>
      <w:r>
        <w:rPr>
          <w:rFonts w:cs="Arial" w:ascii="Verdana" w:hAnsi="Verdana"/>
          <w:b/>
          <w:bCs/>
          <w:color w:val="000000"/>
          <w:sz w:val="20"/>
          <w:szCs w:val="20"/>
        </w:rPr>
        <w:t>/2026.</w:t>
      </w:r>
    </w:p>
    <w:p>
      <w:pPr>
        <w:pStyle w:val="Normal"/>
        <w:spacing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h00min.</w:t>
      </w:r>
    </w:p>
    <w:p>
      <w:pPr>
        <w:pStyle w:val="Normal"/>
        <w:spacing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before="57" w:after="57"/>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DES: 2026.065E0700001.01.0009</w:t>
      </w:r>
    </w:p>
    <w:p>
      <w:pPr>
        <w:pStyle w:val="Normal"/>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rPr>
        <w:t>DO OBJETO</w:t>
      </w:r>
    </w:p>
    <w:p>
      <w:pPr>
        <w:pStyle w:val="Nivel01"/>
        <w:spacing w:before="12" w:after="0"/>
        <w:rPr/>
      </w:pPr>
      <w:r>
        <w:rPr>
          <w:rFonts w:cs="Arial" w:ascii="Verdana" w:hAnsi="Verdana"/>
          <w:b w:val="false"/>
          <w:bCs w:val="false"/>
        </w:rPr>
        <w:t>1.1</w:t>
      </w:r>
      <w:r>
        <w:rPr>
          <w:rFonts w:cs="Arial" w:ascii="Verdana" w:hAnsi="Verdana"/>
        </w:rPr>
        <w:t xml:space="preserve"> </w:t>
      </w:r>
      <w:r>
        <w:rPr>
          <w:rFonts w:cs="Arial" w:ascii="Verdana" w:hAnsi="Verdana"/>
          <w:b w:val="false"/>
          <w:bCs w:val="false"/>
        </w:rPr>
        <w:t xml:space="preserve">O objeto da presente licitação é a </w:t>
      </w:r>
      <w:r>
        <w:rPr>
          <w:rFonts w:eastAsia="Times New Roman" w:cs="Arial" w:ascii="Verdana" w:hAnsi="Verdana"/>
          <w:b w:val="false"/>
          <w:color w:val="auto"/>
        </w:rPr>
        <w:t>Constituição de Registro de Preços para Futura e eventual</w:t>
      </w:r>
      <w:r>
        <w:rPr>
          <w:rFonts w:eastAsia="Times New Roman" w:cs="Arial" w:ascii="Verdana" w:hAnsi="Verdana"/>
          <w:b w:val="false"/>
          <w:color w:val="auto"/>
          <w:sz w:val="22"/>
          <w:szCs w:val="22"/>
        </w:rPr>
        <w:t xml:space="preserve"> </w:t>
      </w:r>
      <w:r>
        <w:rPr>
          <w:rFonts w:eastAsia="Times New Roman" w:cs="Arial" w:ascii="Verdana" w:hAnsi="Verdana"/>
          <w:b w:val="false"/>
          <w:color w:val="auto"/>
        </w:rPr>
        <w:t>a</w:t>
      </w:r>
      <w:r>
        <w:rPr>
          <w:rFonts w:eastAsia="Times New Roman" w:cs="Verdana" w:ascii="Verdana" w:hAnsi="Verdana"/>
          <w:b w:val="false"/>
          <w:color w:val="auto"/>
        </w:rPr>
        <w:t>quisição de equipamentos de informática para atendimento das necessidades da Secretaria Municipal de Assistência Social e da Prefeitura Municipal de São Gabriel da Palha</w:t>
      </w:r>
      <w:r>
        <w:rPr>
          <w:rFonts w:ascii="Verdana" w:hAnsi="Verdana"/>
          <w:b w:val="false"/>
          <w:bCs w:val="false"/>
          <w:iCs/>
        </w:rPr>
        <w:t xml:space="preserve">, </w:t>
      </w:r>
      <w:r>
        <w:rPr>
          <w:rFonts w:eastAsia="Batang;바탕" w:cs="Arial" w:ascii="Verdana" w:hAnsi="Verdana"/>
          <w:b w:val="false"/>
          <w:bCs w:val="false"/>
          <w:kern w:val="2"/>
          <w:lang w:eastAsia="en-US" w:bidi="pt-BR"/>
        </w:rPr>
        <w:t>conforme c</w:t>
      </w:r>
      <w:r>
        <w:rPr>
          <w:rFonts w:cs="Arial" w:ascii="Verdana" w:hAnsi="Verdana"/>
          <w:b w:val="false"/>
          <w:bCs w:val="false"/>
        </w:rPr>
        <w:t>ondições, quantidades e exigências estabelecidas neste Edital e seus anexos.</w:t>
      </w:r>
    </w:p>
    <w:p>
      <w:pPr>
        <w:pStyle w:val="Normal"/>
        <w:spacing w:before="57" w:after="57"/>
        <w:jc w:val="both"/>
        <w:rPr>
          <w:rFonts w:ascii="Verdana" w:hAnsi="Verdana"/>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before="57" w:after="57"/>
        <w:jc w:val="both"/>
        <w:rPr>
          <w:rFonts w:ascii="Verdana" w:hAnsi="Verdana"/>
          <w:sz w:val="20"/>
          <w:szCs w:val="20"/>
        </w:rPr>
      </w:pPr>
      <w:r>
        <w:rPr>
          <w:rFonts w:cs="Arial" w:ascii="Verdana" w:hAnsi="Verdana"/>
          <w:b/>
          <w:bCs/>
          <w:iCs/>
          <w:color w:val="000000"/>
          <w:sz w:val="20"/>
          <w:szCs w:val="20"/>
          <w:shd w:fill="FFFF00" w:val="clear"/>
        </w:rPr>
        <w:t xml:space="preserve">1.3 </w:t>
      </w:r>
      <w:r>
        <w:rPr>
          <w:rFonts w:eastAsia="Batang;바탕" w:cs="Arial" w:ascii="Verdana" w:hAnsi="Verdana"/>
          <w:b/>
          <w:bCs/>
          <w:iCs/>
          <w:color w:val="000000"/>
          <w:sz w:val="20"/>
          <w:szCs w:val="20"/>
          <w:shd w:fill="FFFF00" w:val="clear"/>
        </w:rPr>
        <w:t>a) A licitação correspondente aos itens 09 e 10 ocorrerá com exclusividade para microempresas ou empresas de pequeno porte, os demais itens ocorrerão com ampla concorrência.</w:t>
      </w:r>
    </w:p>
    <w:p>
      <w:pPr>
        <w:pStyle w:val="Normal"/>
        <w:spacing w:before="57" w:after="57"/>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 xml:space="preserve">DO REGISTRO DE PREÇOS </w:t>
      </w:r>
    </w:p>
    <w:p>
      <w:pPr>
        <w:pStyle w:val="Normal"/>
        <w:jc w:val="both"/>
        <w:rPr>
          <w:rFonts w:ascii="Verdana" w:hAnsi="Verdana"/>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jc w:val="both"/>
        <w:rPr>
          <w:rFonts w:ascii="Verdana" w:hAnsi="Verdana"/>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ivel01"/>
        <w:spacing w:before="0" w:after="0"/>
        <w:rPr>
          <w:rFonts w:ascii="Verdana" w:hAnsi="Verdana"/>
        </w:rPr>
      </w:pPr>
      <w:r>
        <w:rPr>
          <w:rFonts w:ascii="Verdana" w:hAnsi="Verdana"/>
        </w:rPr>
      </w:r>
    </w:p>
    <w:p>
      <w:pPr>
        <w:pStyle w:val="Nivel01"/>
        <w:numPr>
          <w:ilvl w:val="0"/>
          <w:numId w:val="2"/>
        </w:numPr>
        <w:spacing w:before="0" w:after="0"/>
        <w:ind w:hanging="0" w:left="0"/>
        <w:rPr>
          <w:rFonts w:ascii="Verdana" w:hAnsi="Verdana"/>
        </w:rPr>
      </w:pPr>
      <w:r>
        <w:rPr>
          <w:rFonts w:cs="Arial" w:ascii="Verdana" w:hAnsi="Verdana"/>
        </w:rPr>
        <w:t>DO CREDENCIAMENTO</w:t>
      </w:r>
    </w:p>
    <w:p>
      <w:pPr>
        <w:pStyle w:val="Default"/>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DA PARTICIPAÇÃO NO PREGÃO.</w:t>
      </w:r>
    </w:p>
    <w:p>
      <w:pPr>
        <w:pStyle w:val="Normal"/>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before="57" w:after="57"/>
        <w:jc w:val="both"/>
        <w:rPr>
          <w:rFonts w:ascii="Verdana" w:hAnsi="Verdana"/>
          <w:sz w:val="20"/>
          <w:szCs w:val="20"/>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jc w:val="both"/>
        <w:rPr/>
      </w:pPr>
      <w:r>
        <w:rPr>
          <w:rStyle w:val="InternetLink"/>
          <w:rFonts w:cs="Arial" w:ascii="Verdana" w:hAnsi="Verdana"/>
          <w:iCs/>
          <w:color w:val="auto"/>
          <w:sz w:val="20"/>
          <w:szCs w:val="20"/>
          <w:u w:val="none"/>
        </w:rPr>
        <w:t>4.2.1 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before="85" w:after="85"/>
        <w:jc w:val="both"/>
        <w:rPr/>
      </w:pPr>
      <w:r>
        <w:rPr>
          <w:rStyle w:val="InternetLink"/>
          <w:rFonts w:cs="Arial" w:ascii="Verdana" w:hAnsi="Verdana"/>
          <w:b/>
          <w:bCs/>
          <w:iCs/>
          <w:color w:val="000000"/>
          <w:sz w:val="20"/>
          <w:szCs w:val="20"/>
          <w:u w:val="none"/>
          <w:shd w:fill="FFFF00" w:val="clear"/>
        </w:rPr>
        <w:t>4.2.</w:t>
      </w:r>
      <w:r>
        <w:rPr>
          <w:rStyle w:val="InternetLink"/>
          <w:rFonts w:cs="Arial" w:ascii="Verdana" w:hAnsi="Verdana"/>
          <w:b/>
          <w:bCs/>
          <w:iCs/>
          <w:color w:val="000000"/>
          <w:sz w:val="20"/>
          <w:szCs w:val="20"/>
          <w:highlight w:val="yellow"/>
          <w:u w:val="none"/>
          <w:shd w:fill="FFFF00" w:val="clear"/>
        </w:rPr>
        <w:t xml:space="preserve">2 </w:t>
      </w:r>
      <w:bookmarkStart w:id="1" w:name="_Hlk214282951"/>
      <w:r>
        <w:rPr>
          <w:rStyle w:val="InternetLink1"/>
          <w:rFonts w:cs="Arial" w:ascii="Verdana" w:hAnsi="Verdana"/>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cs="Arial" w:ascii="Verdana" w:hAnsi="Verdana"/>
          <w:iCs/>
          <w:color w:val="auto"/>
          <w:sz w:val="20"/>
          <w:szCs w:val="20"/>
          <w:highlight w:val="yellow"/>
        </w:rPr>
        <w:t xml:space="preserve"> demonstrando a situação de enquadramento, </w:t>
      </w:r>
      <w:r>
        <w:rPr>
          <w:rStyle w:val="InternetLink1"/>
          <w:rFonts w:cs="Arial" w:ascii="Verdana" w:hAnsi="Verdana"/>
          <w:b/>
          <w:bCs/>
          <w:iCs/>
          <w:color w:val="auto"/>
          <w:sz w:val="20"/>
          <w:szCs w:val="20"/>
          <w:highlight w:val="yellow"/>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highlight w:val="yellow"/>
        </w:rPr>
        <w:t>, sob pena de perda do direito de gozo dos referidos benefícios</w:t>
      </w:r>
      <w:r>
        <w:rPr>
          <w:rFonts w:cs="Arial" w:ascii="Verdana" w:hAnsi="Verdana"/>
          <w:bCs/>
          <w:sz w:val="20"/>
          <w:szCs w:val="20"/>
          <w:highlight w:val="yellow"/>
        </w:rPr>
        <w:t>.</w:t>
      </w:r>
      <w:bookmarkEnd w:id="1"/>
    </w:p>
    <w:p>
      <w:pPr>
        <w:pStyle w:val="Normal"/>
        <w:spacing w:before="85" w:after="85"/>
        <w:jc w:val="both"/>
        <w:rPr>
          <w:rFonts w:ascii="Verdana" w:hAnsi="Verdana"/>
          <w:sz w:val="20"/>
          <w:szCs w:val="20"/>
        </w:rPr>
      </w:pPr>
      <w:r>
        <w:rPr>
          <w:rFonts w:cs="Arial" w:ascii="Verdana" w:hAnsi="Verdana"/>
          <w:bCs/>
          <w:iCs/>
          <w:color w:val="000000"/>
          <w:sz w:val="20"/>
          <w:szCs w:val="20"/>
        </w:rPr>
        <w:t xml:space="preserve">4.2.3 </w:t>
      </w:r>
      <w:bookmarkStart w:id="2"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pPr>
        <w:pStyle w:val="Normal"/>
        <w:snapToGrid w:val="false"/>
        <w:spacing w:before="85" w:after="85"/>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before="85" w:after="85"/>
        <w:jc w:val="both"/>
        <w:rPr>
          <w:rFonts w:ascii="Verdana" w:hAnsi="Verdana"/>
          <w:sz w:val="20"/>
          <w:szCs w:val="20"/>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before="85" w:after="85"/>
        <w:jc w:val="both"/>
        <w:rPr>
          <w:rFonts w:ascii="Verdana" w:hAnsi="Verdana"/>
          <w:sz w:val="20"/>
          <w:szCs w:val="20"/>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before="85" w:after="85"/>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before="85" w:after="85"/>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85" w:after="85"/>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85" w:after="85"/>
        <w:ind w:hanging="0" w:left="0"/>
        <w:rPr>
          <w:rFonts w:ascii="Verdana" w:hAnsi="Verdana"/>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85" w:after="85"/>
        <w:ind w:hanging="0" w:left="0"/>
        <w:rPr>
          <w:rFonts w:ascii="Verdana" w:hAnsi="Verdana"/>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before="85" w:after="85"/>
        <w:ind w:hanging="0" w:left="0"/>
        <w:rPr>
          <w:rFonts w:ascii="Verdana" w:hAnsi="Verdana"/>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85" w:after="85"/>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before="0" w:after="0"/>
        <w:ind w:hanging="0" w:left="0"/>
        <w:rPr>
          <w:rFonts w:ascii="Verdana" w:hAnsi="Verdana"/>
        </w:rPr>
      </w:pPr>
      <w:r>
        <w:rPr>
          <w:rFonts w:cs="Arial" w:ascii="Verdana" w:hAnsi="Verdana"/>
        </w:rPr>
        <w:t>DA APRESENTAÇÃO DA PROPOSTA E DOS DOCUMENTOS DE HABILITAÇÃO</w:t>
      </w:r>
    </w:p>
    <w:p>
      <w:pPr>
        <w:pStyle w:val="Normal"/>
        <w:numPr>
          <w:ilvl w:val="1"/>
          <w:numId w:val="13"/>
        </w:numPr>
        <w:tabs>
          <w:tab w:val="clear" w:pos="708"/>
          <w:tab w:val="left" w:pos="450" w:leader="none"/>
          <w:tab w:val="left" w:pos="1450" w:leader="none"/>
        </w:tabs>
        <w:spacing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tabs>
          <w:tab w:val="clear" w:pos="708"/>
          <w:tab w:val="left" w:pos="450" w:leader="none"/>
        </w:tabs>
        <w:spacing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tabs>
          <w:tab w:val="clear" w:pos="708"/>
          <w:tab w:val="left" w:pos="450" w:leader="none"/>
        </w:tabs>
        <w:spacing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tabs>
          <w:tab w:val="clear" w:pos="708"/>
          <w:tab w:val="left" w:pos="450" w:leader="none"/>
        </w:tabs>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ind w:hanging="0" w:left="0"/>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before="57" w:after="57"/>
        <w:ind w:hanging="0" w:left="0"/>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before="57" w:after="57"/>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57" w:after="57"/>
        <w:ind w:hanging="0" w:left="0"/>
        <w:rPr>
          <w:rFonts w:ascii="Verdana" w:hAnsi="Verdana"/>
        </w:rPr>
      </w:pPr>
      <w:r>
        <w:rPr>
          <w:rFonts w:ascii="Verdana" w:hAnsi="Verdana"/>
        </w:rPr>
        <w:t>A apresentação das propostas implica obrigatoriedade do cumprimento das disposições nelas contidas, em conformidade com o que dispõe o Anexo 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before="0" w:after="0"/>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57" w:after="57"/>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before="57" w:after="57"/>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before="57" w:after="57"/>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R$ 10,</w:t>
      </w:r>
      <w:r>
        <w:rPr>
          <w:rFonts w:ascii="Verdana" w:hAnsi="Verdana"/>
          <w:b/>
          <w:bCs/>
          <w:i/>
          <w:iCs/>
          <w:color w:val="FF0000"/>
          <w:sz w:val="20"/>
          <w:szCs w:val="20"/>
        </w:rPr>
        <w:t>00</w:t>
      </w:r>
      <w:r>
        <w:rPr>
          <w:rFonts w:ascii="Verdana" w:hAnsi="Verdana"/>
          <w:b/>
          <w:bCs/>
          <w:i/>
          <w:iCs/>
          <w:color w:val="FF0000"/>
          <w:sz w:val="20"/>
          <w:szCs w:val="20"/>
        </w:rPr>
        <w:t xml:space="preserve">. (dez </w:t>
      </w:r>
      <w:r>
        <w:rPr>
          <w:rFonts w:ascii="Verdana" w:hAnsi="Verdana"/>
          <w:b/>
          <w:bCs/>
          <w:i/>
          <w:iCs/>
          <w:color w:val="FF0000"/>
          <w:sz w:val="20"/>
          <w:szCs w:val="20"/>
        </w:rPr>
        <w:t>reais</w:t>
      </w:r>
      <w:r>
        <w:rPr>
          <w:rFonts w:ascii="Verdana" w:hAnsi="Verdana"/>
          <w:b/>
          <w:bCs/>
          <w:i/>
          <w:iCs/>
          <w:color w:val="FF0000"/>
          <w:sz w:val="20"/>
          <w:szCs w:val="20"/>
        </w:rPr>
        <w:t>)</w:t>
      </w:r>
      <w:r>
        <w:rPr>
          <w:rFonts w:ascii="Verdana" w:hAnsi="Verdana"/>
          <w:i/>
          <w:iCs/>
          <w:sz w:val="20"/>
          <w:szCs w:val="20"/>
        </w:rPr>
        <w:t>.</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before="57" w:after="57"/>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before="57" w:after="57"/>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before="57" w:after="57"/>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before="57" w:after="57"/>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before="57" w:after="57"/>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before="57" w:after="57"/>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before="57" w:after="57"/>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before="57" w:after="57"/>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before="57" w:after="57"/>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before="57" w:after="57"/>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before="57" w:after="57"/>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before="57" w:after="57"/>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before="57" w:after="57"/>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before="57" w:after="57"/>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before="57" w:after="57"/>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before="57" w:after="57"/>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before="57" w:after="57"/>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before="57" w:after="57"/>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before="57" w:after="57"/>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before="57" w:after="57"/>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before="57" w:after="57"/>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before="57" w:after="57"/>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before="57" w:after="57"/>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before="57" w:after="57"/>
        <w:ind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before="0" w:after="0"/>
        <w:ind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before="0"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before="0" w:after="0"/>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183"/>
          <w:sz w:val="20"/>
          <w:u w:val="single"/>
          <w:szCs w:val="20"/>
          <w:rFonts w:cs="Arial" w:ascii="Verdana" w:hAnsi="Verdana"/>
          <w:color w:val="000080"/>
        </w:rPr>
        <w:instrText xml:space="preserve"> HYPERLINK "http://www.planalto.gov.br/ccivil_03/_ato2019-2022/2021/lei/L14133.htm" \l "art14"</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 14 da Lei nº 14.133/2021</w:t>
      </w:r>
      <w:r>
        <w:rPr>
          <w:rStyle w:val="ListLabel183"/>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3"/>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artigo 29 a 35 da IN SEGES nº 73, de 30 de setembro de 2022</w:t>
      </w:r>
      <w:r>
        <w:rPr>
          <w:rStyle w:val="ListLabel183"/>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before="57" w:after="57"/>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before="0" w:after="0"/>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184"/>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184"/>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185"/>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184"/>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18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napToGrid w:val="false"/>
        <w:jc w:val="both"/>
        <w:rPr/>
      </w:pPr>
      <w:r>
        <w:rPr>
          <w:rFonts w:cs="Arial" w:ascii="Verdana" w:hAnsi="Verdana"/>
          <w:b/>
          <w:bCs/>
          <w:color w:val="000000"/>
          <w:sz w:val="20"/>
          <w:szCs w:val="20"/>
        </w:rPr>
        <w:t xml:space="preserve">9.11 </w:t>
      </w:r>
      <w:r>
        <w:rPr>
          <w:rFonts w:cs="Verdana" w:ascii="Verdana" w:hAnsi="Verdana"/>
          <w:b/>
          <w:bCs/>
          <w:color w:val="000000"/>
          <w:sz w:val="20"/>
          <w:szCs w:val="20"/>
        </w:rPr>
        <w:t xml:space="preserve">REQUISITOS DA </w:t>
      </w:r>
      <w:r>
        <w:rPr>
          <w:rStyle w:val="Strong"/>
          <w:rFonts w:cs="Verdana" w:ascii="Verdana" w:hAnsi="Verdana"/>
          <w:color w:val="0A0A0A"/>
          <w:sz w:val="20"/>
          <w:szCs w:val="20"/>
        </w:rPr>
        <w:t>HABILITAÇÃO TÉCNICA LEGAL:</w:t>
      </w:r>
    </w:p>
    <w:p>
      <w:pPr>
        <w:pStyle w:val="BodyText"/>
        <w:suppressAutoHyphens w:val="false"/>
        <w:spacing w:before="0" w:after="0"/>
        <w:jc w:val="both"/>
        <w:rPr/>
      </w:pPr>
      <w:r>
        <w:rPr>
          <w:rStyle w:val="Strong"/>
          <w:rFonts w:cs="Verdana" w:ascii="Verdana" w:hAnsi="Verdana"/>
          <w:b w:val="false"/>
          <w:bCs w:val="false"/>
          <w:color w:val="0A0A0A"/>
          <w:sz w:val="20"/>
          <w:szCs w:val="20"/>
        </w:rPr>
        <w:t xml:space="preserve">a) </w:t>
      </w:r>
      <w:r>
        <w:rPr>
          <w:rStyle w:val="Strong"/>
          <w:rFonts w:cs="Verdana" w:ascii="Verdana" w:hAnsi="Verdana"/>
          <w:color w:val="0A0A0A"/>
          <w:sz w:val="20"/>
          <w:szCs w:val="20"/>
        </w:rPr>
        <w:t>ATESTADO DE CAPACIDADE TÉCNICA</w:t>
      </w:r>
      <w:r>
        <w:rPr>
          <w:rStyle w:val="Strong"/>
          <w:rFonts w:cs="Verdana" w:ascii="Verdana" w:hAnsi="Verdana"/>
          <w:b w:val="false"/>
          <w:bCs w:val="false"/>
          <w:color w:val="0A0A0A"/>
          <w:sz w:val="20"/>
          <w:szCs w:val="20"/>
        </w:rPr>
        <w:t>: Atestado(s) de fornecimento(s) emitido(s) por entidade(s) de direito público ou privado comprovando a aptidão da licitante para o fornecimento do(s) produto(s) idêntico(s) ou similar(es) aos objetos licitados, devidamente assinado e, preferencialmente, em papel timbrado da empresa ou órgão tomador do fornecimento;</w:t>
      </w:r>
    </w:p>
    <w:p>
      <w:pPr>
        <w:pStyle w:val="BodyText"/>
        <w:suppressAutoHyphens w:val="false"/>
        <w:spacing w:before="0" w:after="0"/>
        <w:jc w:val="both"/>
        <w:rPr/>
      </w:pPr>
      <w:r>
        <w:rPr>
          <w:rStyle w:val="Strong"/>
          <w:rFonts w:cs="Verdana" w:ascii="Verdana" w:hAnsi="Verdana"/>
          <w:b w:val="false"/>
          <w:bCs w:val="false"/>
          <w:color w:val="0A0A0A"/>
          <w:sz w:val="20"/>
          <w:szCs w:val="20"/>
        </w:rPr>
        <w:t>9.11.2. Serão aceitos atestados ou outros documentos hábeis emitidos por entidades estrangeiras quando acompanhados de tradução para o português, salvo se comprovada a inidoneidade da entidade emissora.</w:t>
      </w:r>
    </w:p>
    <w:p>
      <w:pPr>
        <w:pStyle w:val="BodyText"/>
        <w:suppressAutoHyphens w:val="false"/>
        <w:spacing w:before="0" w:after="0"/>
        <w:jc w:val="both"/>
        <w:rPr/>
      </w:pPr>
      <w:r>
        <w:rPr>
          <w:rStyle w:val="Strong"/>
          <w:rFonts w:cs="Verdana" w:ascii="Verdana" w:hAnsi="Verdana"/>
          <w:b w:val="false"/>
          <w:bCs w:val="false"/>
          <w:color w:val="0A0A0A"/>
          <w:sz w:val="20"/>
          <w:szCs w:val="20"/>
        </w:rPr>
        <w:t>9.11.3. Deverá ainda atender ao item 7 e 7.1 do Estudo Técnico Preliminar referente aos equipamentos e sua entrega.</w:t>
      </w:r>
    </w:p>
    <w:p>
      <w:pPr>
        <w:pStyle w:val="ListParagraph"/>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before="0" w:after="0"/>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DOS RECURSOS</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before="0" w:after="0"/>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before="0" w:after="0"/>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rPr>
          <w:rFonts w:ascii="Verdana" w:hAnsi="Verdana" w:cs="Arial"/>
          <w:sz w:val="20"/>
          <w:szCs w:val="20"/>
        </w:rPr>
      </w:pPr>
      <w:r>
        <w:rPr>
          <w:rFonts w:cs="Arial"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 xml:space="preserve">DA ADJUDICAÇÃO E HOMOLOGAÇÃO </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color w:val="auto"/>
        </w:rPr>
        <w:t xml:space="preserve">DA GARANTIA DE EXECUÇÃO </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before="57" w:after="57"/>
        <w:ind w:hanging="0" w:left="0"/>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before="0" w:after="0"/>
        <w:ind w:hanging="0" w:left="0"/>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before="0" w:after="0"/>
        <w:ind w:left="0"/>
        <w:contextualSpacing w:val="false"/>
        <w:jc w:val="both"/>
        <w:rPr>
          <w:rFonts w:ascii="Verdana" w:hAnsi="Verdana"/>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before="0" w:after="0"/>
        <w:ind w:left="0"/>
        <w:contextualSpacing w:val="false"/>
        <w:jc w:val="both"/>
        <w:rPr>
          <w:rFonts w:ascii="Verdana" w:hAnsi="Verdana"/>
          <w:bCs/>
          <w:sz w:val="20"/>
          <w:szCs w:val="20"/>
        </w:rPr>
      </w:pPr>
      <w:r>
        <w:rPr>
          <w:rFonts w:ascii="Verdana" w:hAnsi="Verdana"/>
          <w:bCs/>
          <w:sz w:val="20"/>
          <w:szCs w:val="20"/>
        </w:rPr>
      </w:r>
    </w:p>
    <w:p>
      <w:pPr>
        <w:pStyle w:val="Nivel01"/>
        <w:spacing w:before="0" w:after="0"/>
        <w:rPr>
          <w:rFonts w:ascii="Verdana" w:hAnsi="Verdana"/>
        </w:rPr>
      </w:pPr>
      <w:r>
        <w:rPr>
          <w:rFonts w:cs="Arial" w:ascii="Verdana" w:hAnsi="Verdana"/>
        </w:rPr>
        <w:t>16. DO REAJUSTAMENTO EM SENTIDO GERAL</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17. DA ACEITAÇÃO DO OBJETO E DA FISCALIZAÇÃO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lang w:eastAsia="en-US"/>
        </w:rPr>
        <w:t>18. DAS OBRIGAÇÕES DA CONTRATANTE E DA CONTRATADA</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Tahoma" w:ascii="Verdana" w:hAnsi="Verdana"/>
          <w:color w:val="auto"/>
        </w:rPr>
        <w:t>19</w:t>
      </w:r>
      <w:r>
        <w:rPr>
          <w:rFonts w:cs="Arial" w:ascii="Verdana" w:hAnsi="Verdana"/>
        </w:rPr>
        <w:t>. DO PAGAMENTO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20. DAS SANÇÕES ADMINISTRATIVAS.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before="57" w:after="57"/>
        <w:jc w:val="both"/>
        <w:rPr>
          <w:rFonts w:ascii="Verdana" w:hAnsi="Verdana"/>
          <w:sz w:val="20"/>
          <w:szCs w:val="20"/>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before="57" w:after="57"/>
        <w:jc w:val="both"/>
        <w:rPr>
          <w:rFonts w:ascii="Verdana" w:hAnsi="Verdana"/>
          <w:sz w:val="20"/>
          <w:szCs w:val="20"/>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before="57" w:after="57"/>
        <w:jc w:val="both"/>
        <w:rPr>
          <w:rFonts w:ascii="Verdana" w:hAnsi="Verdana"/>
          <w:sz w:val="20"/>
          <w:szCs w:val="20"/>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before="57" w:after="57"/>
        <w:jc w:val="both"/>
        <w:rPr>
          <w:rFonts w:ascii="Verdana" w:hAnsi="Verdana"/>
          <w:sz w:val="20"/>
          <w:szCs w:val="20"/>
        </w:rPr>
      </w:pPr>
      <w:r>
        <w:rPr>
          <w:rFonts w:ascii="Verdana" w:hAnsi="Verdana"/>
          <w:sz w:val="20"/>
          <w:szCs w:val="20"/>
        </w:rPr>
        <w:t>20.1.6.2 Induzir deliberadamente a erro no julgamento;</w:t>
      </w:r>
    </w:p>
    <w:p>
      <w:pPr>
        <w:pStyle w:val="Normal"/>
        <w:spacing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before="57" w:after="57"/>
        <w:jc w:val="both"/>
        <w:rPr>
          <w:rFonts w:ascii="Verdana" w:hAnsi="Verdana"/>
          <w:sz w:val="20"/>
          <w:szCs w:val="20"/>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before="57" w:after="57"/>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187"/>
          <w:sz w:val="20"/>
          <w:szCs w:val="20"/>
          <w:rFonts w:ascii="Verdana" w:hAnsi="Verdana"/>
          <w:color w:val="000000"/>
        </w:rPr>
        <w:instrText xml:space="preserve"> HYPERLINK "https://www.planalto.gov.br/ccivil_03/_ato2011-2014/2013/lei/l12846.htm" \l "art5"</w:instrText>
      </w:r>
      <w:r>
        <w:rPr>
          <w:rStyle w:val="ListLabel187"/>
          <w:sz w:val="20"/>
          <w:szCs w:val="20"/>
          <w:rFonts w:ascii="Verdana" w:hAnsi="Verdana"/>
          <w:color w:val="000000"/>
        </w:rPr>
        <w:fldChar w:fldCharType="separate"/>
      </w:r>
      <w:r>
        <w:rPr>
          <w:rStyle w:val="ListLabel187"/>
          <w:rFonts w:ascii="Verdana" w:hAnsi="Verdana"/>
          <w:color w:val="000000"/>
          <w:sz w:val="20"/>
          <w:szCs w:val="20"/>
        </w:rPr>
        <w:t>art. 5º da Lei n.º 12.846, de 2013</w:t>
      </w:r>
      <w:r>
        <w:rPr>
          <w:rStyle w:val="ListLabel187"/>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40" w:before="57" w:after="57"/>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57" w:after="57"/>
        <w:ind w:hanging="0" w:left="0"/>
        <w:rPr>
          <w:rFonts w:ascii="Verdana" w:hAnsi="Verdana"/>
        </w:rPr>
      </w:pPr>
      <w:r>
        <w:rPr>
          <w:rFonts w:ascii="Verdana" w:hAnsi="Verdana"/>
        </w:rPr>
        <w:t>20.2.1 advertência;</w:t>
      </w:r>
    </w:p>
    <w:p>
      <w:pPr>
        <w:pStyle w:val="Nivel2"/>
        <w:numPr>
          <w:ilvl w:val="0"/>
          <w:numId w:val="0"/>
        </w:numPr>
        <w:spacing w:lineRule="auto" w:line="240" w:before="57" w:after="57"/>
        <w:ind w:hanging="0" w:left="0"/>
        <w:rPr>
          <w:rFonts w:ascii="Verdana" w:hAnsi="Verdana"/>
        </w:rPr>
      </w:pPr>
      <w:r>
        <w:rPr>
          <w:rFonts w:ascii="Verdana" w:hAnsi="Verdana"/>
        </w:rPr>
        <w:t>20.2.2 multa;</w:t>
      </w:r>
    </w:p>
    <w:p>
      <w:pPr>
        <w:pStyle w:val="Nivel2"/>
        <w:numPr>
          <w:ilvl w:val="0"/>
          <w:numId w:val="0"/>
        </w:numPr>
        <w:spacing w:lineRule="auto" w:line="240" w:before="57" w:after="57"/>
        <w:ind w:hanging="0" w:left="0"/>
        <w:rPr>
          <w:rFonts w:ascii="Verdana" w:hAnsi="Verdana"/>
        </w:rPr>
      </w:pPr>
      <w:r>
        <w:rPr>
          <w:rFonts w:ascii="Verdana" w:hAnsi="Verdana"/>
        </w:rPr>
        <w:t>20.2.3 impedimento de licitar e contratar e</w:t>
      </w:r>
    </w:p>
    <w:p>
      <w:pPr>
        <w:pStyle w:val="Nivel2"/>
        <w:numPr>
          <w:ilvl w:val="0"/>
          <w:numId w:val="0"/>
        </w:numPr>
        <w:spacing w:lineRule="auto" w:line="240" w:before="57" w:after="57"/>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rFonts w:ascii="Verdana" w:hAnsi="Verdana"/>
        </w:rPr>
      </w:pPr>
      <w:r>
        <w:rPr>
          <w:rFonts w:ascii="Verdana" w:hAnsi="Verdana"/>
        </w:rPr>
        <w:t>20.3 Na aplicação das sanções serão considerados:</w:t>
      </w:r>
    </w:p>
    <w:p>
      <w:pPr>
        <w:pStyle w:val="Nivel2"/>
        <w:numPr>
          <w:ilvl w:val="0"/>
          <w:numId w:val="0"/>
        </w:numPr>
        <w:spacing w:lineRule="auto" w:line="240" w:before="57" w:after="57"/>
        <w:ind w:hanging="0" w:left="0"/>
        <w:rPr>
          <w:rFonts w:ascii="Verdana" w:hAnsi="Verdana"/>
        </w:rPr>
      </w:pPr>
      <w:r>
        <w:rPr>
          <w:rFonts w:ascii="Verdana" w:hAnsi="Verdana"/>
        </w:rPr>
        <w:t>20.3.1 a natureza e a gravidade da infração cometida.</w:t>
      </w:r>
    </w:p>
    <w:p>
      <w:pPr>
        <w:pStyle w:val="Nivel2"/>
        <w:numPr>
          <w:ilvl w:val="0"/>
          <w:numId w:val="0"/>
        </w:numPr>
        <w:spacing w:lineRule="auto" w:line="240" w:before="57" w:after="57"/>
        <w:ind w:hanging="0" w:left="0"/>
        <w:rPr>
          <w:rFonts w:ascii="Verdana" w:hAnsi="Verdana"/>
        </w:rPr>
      </w:pPr>
      <w:r>
        <w:rPr>
          <w:rFonts w:ascii="Verdana" w:hAnsi="Verdana"/>
        </w:rPr>
        <w:t>20.3.2 as peculiaridades do caso concreto</w:t>
      </w:r>
    </w:p>
    <w:p>
      <w:pPr>
        <w:pStyle w:val="Nivel2"/>
        <w:numPr>
          <w:ilvl w:val="0"/>
          <w:numId w:val="0"/>
        </w:numPr>
        <w:spacing w:lineRule="auto" w:line="240" w:before="57" w:after="57"/>
        <w:ind w:hanging="0" w:left="0"/>
        <w:rPr>
          <w:rFonts w:ascii="Verdana" w:hAnsi="Verdana"/>
        </w:rPr>
      </w:pPr>
      <w:r>
        <w:rPr>
          <w:rFonts w:ascii="Verdana" w:hAnsi="Verdana"/>
        </w:rPr>
        <w:t>20.3.3 as circunstâncias agravantes ou atenuantes</w:t>
      </w:r>
    </w:p>
    <w:p>
      <w:pPr>
        <w:pStyle w:val="Nivel2"/>
        <w:numPr>
          <w:ilvl w:val="0"/>
          <w:numId w:val="0"/>
        </w:numPr>
        <w:spacing w:lineRule="auto" w:line="240" w:before="57" w:after="57"/>
        <w:ind w:hanging="0" w:left="0"/>
        <w:rPr>
          <w:rFonts w:ascii="Verdana" w:hAnsi="Verdana"/>
        </w:rPr>
      </w:pPr>
      <w:r>
        <w:rPr>
          <w:rFonts w:ascii="Verdana" w:hAnsi="Verdana"/>
        </w:rPr>
        <w:t>20.3.4 os danos que dela provierem para a Administração Pública</w:t>
      </w:r>
    </w:p>
    <w:p>
      <w:pPr>
        <w:pStyle w:val="Nivel2"/>
        <w:numPr>
          <w:ilvl w:val="0"/>
          <w:numId w:val="0"/>
        </w:numPr>
        <w:spacing w:lineRule="auto" w:line="240" w:before="57" w:after="57"/>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before="57" w:after="57"/>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before="57" w:after="57"/>
        <w:ind w:hanging="0" w:left="0"/>
        <w:rPr>
          <w:rFonts w:ascii="Verdana" w:hAnsi="Verdana"/>
        </w:rPr>
      </w:pPr>
      <w:r>
        <w:rPr>
          <w:rFonts w:ascii="Verdana" w:hAnsi="Verdana"/>
        </w:rPr>
        <w:t xml:space="preserve">20.4.1 </w:t>
      </w:r>
      <w:bookmarkStart w:id="20" w:name="_Hlk113876035_Copia_1"/>
      <w:bookmarkStart w:id="21" w:name="_Hlk113876035"/>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lineRule="auto" w:line="240" w:before="57" w:after="57"/>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before="57" w:after="57"/>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88"/>
          <w:rFonts w:ascii="Verdana" w:hAnsi="Verdana"/>
          <w:color w:val="000000"/>
        </w:rPr>
        <w:instrText xml:space="preserve"> HYPERLINK "http://www.planalto.gov.br/ccivil_03/_ato2019-2022/2021/lei/L14133.htm" \l "art156%C2%A75"</w:instrText>
      </w:r>
      <w:r>
        <w:rPr>
          <w:rStyle w:val="ListLabel188"/>
          <w:rFonts w:ascii="Verdana" w:hAnsi="Verdana"/>
          <w:color w:val="000000"/>
        </w:rPr>
        <w:fldChar w:fldCharType="separate"/>
      </w:r>
      <w:r>
        <w:rPr>
          <w:rStyle w:val="ListLabel188"/>
          <w:rFonts w:ascii="Verdana" w:hAnsi="Verdana"/>
          <w:color w:val="000000"/>
        </w:rPr>
        <w:t>art. 156, §5º, da Lei n.º 14.133/2021</w:t>
      </w:r>
      <w:r>
        <w:rPr>
          <w:rStyle w:val="ListLabel188"/>
          <w:rFonts w:ascii="Verdana" w:hAnsi="Verdana"/>
          <w:color w:val="000000"/>
        </w:rPr>
        <w:fldChar w:fldCharType="end"/>
      </w:r>
      <w:r>
        <w:rPr>
          <w:rFonts w:ascii="Verdana" w:hAnsi="Verdana"/>
        </w:rPr>
        <w:t>.</w:t>
      </w:r>
    </w:p>
    <w:p>
      <w:pPr>
        <w:pStyle w:val="Nivel2"/>
        <w:numPr>
          <w:ilvl w:val="0"/>
          <w:numId w:val="0"/>
        </w:numPr>
        <w:spacing w:lineRule="auto" w:line="240" w:before="57" w:after="57"/>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188"/>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before="57" w:after="57"/>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0" w:after="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before="0" w:after="0"/>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before="0" w:after="0"/>
        <w:rPr>
          <w:rFonts w:ascii="Verdana" w:hAnsi="Verdana"/>
        </w:rPr>
      </w:pPr>
      <w:r>
        <w:rPr>
          <w:rFonts w:cs="Arial" w:ascii="Verdana" w:hAnsi="Verdana"/>
        </w:rPr>
        <w:t>21. DA IMPUGNAÇÃO AO EDITAL E DO PEDIDO DE ESCLARECIMENTO</w:t>
      </w:r>
    </w:p>
    <w:p>
      <w:pPr>
        <w:pStyle w:val="ListParagraph"/>
        <w:spacing w:before="0" w:after="0"/>
        <w:ind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189"/>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22. DAS DISPOSIÇÕES GERAIS</w:t>
      </w:r>
    </w:p>
    <w:p>
      <w:pPr>
        <w:pStyle w:val="Normal"/>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185"/>
            <w:rFonts w:ascii="Verdana" w:hAnsi="Verdana"/>
            <w:color w:val="000080"/>
            <w:sz w:val="20"/>
            <w:szCs w:val="20"/>
            <w:u w:val="single"/>
          </w:rPr>
          <w:t>licitacao@</w:t>
        </w:r>
      </w:hyperlink>
      <w:hyperlink r:id="rId11">
        <w:r>
          <w:rPr>
            <w:rStyle w:val="ListLabel185"/>
            <w:rFonts w:ascii="Verdana" w:hAnsi="Verdana"/>
            <w:color w:val="000080"/>
            <w:sz w:val="20"/>
            <w:szCs w:val="20"/>
            <w:u w:val="single"/>
          </w:rPr>
          <w:t>saogabriel</w:t>
        </w:r>
      </w:hyperlink>
      <w:hyperlink r:id="rId12">
        <w:r>
          <w:rPr>
            <w:rStyle w:val="ListLabel185"/>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às 13h00min, mesmo endereço e período no qual os autos do processo administrativo permanecerão com vista franqueada aos interessados.</w:t>
      </w:r>
    </w:p>
    <w:p>
      <w:pPr>
        <w:pStyle w:val="Normal"/>
        <w:spacing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before="57" w:after="57"/>
        <w:jc w:val="both"/>
        <w:rPr>
          <w:rFonts w:ascii="Verdana" w:hAnsi="Verdana"/>
          <w:sz w:val="20"/>
          <w:szCs w:val="20"/>
        </w:rPr>
      </w:pPr>
      <w:r>
        <w:rPr>
          <w:rFonts w:cs="Arial" w:ascii="Verdana" w:hAnsi="Verdana"/>
          <w:color w:val="000000"/>
          <w:sz w:val="20"/>
          <w:szCs w:val="20"/>
        </w:rPr>
        <w:t>22.12.1 ANEXO I – Termo de Referência;</w:t>
      </w:r>
    </w:p>
    <w:p>
      <w:pPr>
        <w:pStyle w:val="Normal"/>
        <w:spacing w:before="57" w:after="57"/>
        <w:jc w:val="both"/>
        <w:rPr>
          <w:rFonts w:ascii="Verdana" w:hAnsi="Verdana"/>
          <w:sz w:val="20"/>
          <w:szCs w:val="20"/>
        </w:rPr>
      </w:pPr>
      <w:r>
        <w:rPr>
          <w:rFonts w:cs="Arial" w:ascii="Verdana" w:hAnsi="Verdana"/>
          <w:color w:val="000000"/>
          <w:sz w:val="20"/>
          <w:szCs w:val="20"/>
        </w:rPr>
        <w:t>22.12.2 ANEXO I-1 – Estudo Técnico Preliminar;</w:t>
      </w:r>
    </w:p>
    <w:p>
      <w:pPr>
        <w:pStyle w:val="Normal"/>
        <w:spacing w:before="57" w:after="57"/>
        <w:jc w:val="both"/>
        <w:rPr>
          <w:rFonts w:ascii="Verdana" w:hAnsi="Verdana"/>
          <w:sz w:val="20"/>
          <w:szCs w:val="20"/>
        </w:rPr>
      </w:pPr>
      <w:r>
        <w:rPr>
          <w:rFonts w:cs="Arial" w:ascii="Verdana" w:hAnsi="Verdana"/>
          <w:color w:val="000000"/>
          <w:sz w:val="20"/>
          <w:szCs w:val="20"/>
        </w:rPr>
        <w:t>22.12.2.1 ANEXO II – Modelo Orientativo de Proposta;</w:t>
      </w:r>
    </w:p>
    <w:p>
      <w:pPr>
        <w:pStyle w:val="Normal"/>
        <w:tabs>
          <w:tab w:val="clear" w:pos="708"/>
          <w:tab w:val="left" w:pos="800" w:leader="none"/>
        </w:tabs>
        <w:snapToGrid w:val="false"/>
        <w:spacing w:before="57" w:after="57"/>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tabs>
          <w:tab w:val="clear" w:pos="708"/>
          <w:tab w:val="left" w:pos="800" w:leader="none"/>
        </w:tabs>
        <w:snapToGrid w:val="false"/>
        <w:spacing w:before="57" w:after="57"/>
        <w:jc w:val="both"/>
        <w:rPr>
          <w:rFonts w:ascii="Verdana" w:hAnsi="Verdana" w:cs="Arial"/>
          <w:color w:val="000000"/>
          <w:sz w:val="20"/>
          <w:szCs w:val="20"/>
        </w:rPr>
      </w:pPr>
      <w:r>
        <w:rPr>
          <w:rFonts w:cs="Arial" w:ascii="Verdana" w:hAnsi="Verdana"/>
          <w:color w:val="000000"/>
          <w:sz w:val="20"/>
          <w:szCs w:val="20"/>
        </w:rPr>
      </w:r>
    </w:p>
    <w:p>
      <w:pPr>
        <w:pStyle w:val="Normal"/>
        <w:tabs>
          <w:tab w:val="clear" w:pos="708"/>
          <w:tab w:val="left" w:pos="800" w:leader="none"/>
        </w:tabs>
        <w:snapToGrid w:val="false"/>
        <w:spacing w:before="57" w:after="57"/>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08"/>
          <w:tab w:val="left" w:pos="567" w:leader="none"/>
        </w:tabs>
        <w:spacing w:before="57" w:after="57"/>
        <w:jc w:val="center"/>
        <w:outlineLvl w:val="0"/>
        <w:rPr>
          <w:rFonts w:ascii="Verdana" w:hAnsi="Verdana"/>
          <w:sz w:val="20"/>
          <w:szCs w:val="20"/>
        </w:rPr>
      </w:pPr>
      <w:r>
        <w:rPr>
          <w:rFonts w:cs="Arial" w:ascii="Verdana" w:hAnsi="Verdana"/>
          <w:color w:val="000000"/>
          <w:sz w:val="20"/>
          <w:szCs w:val="20"/>
        </w:rPr>
        <w:t>São Gabriel da Palha/ES, 31 de julho de 2026.</w:t>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before="57" w:after="57"/>
        <w:jc w:val="center"/>
        <w:outlineLvl w:val="0"/>
        <w:rPr/>
      </w:pPr>
      <w:r>
        <w:rPr>
          <w:rFonts w:eastAsia="DejaVu Sans" w:cs="Arial" w:ascii="Verdana" w:hAnsi="Verdana" w:eastAsiaTheme="majorEastAsia"/>
          <w:b/>
          <w:bCs/>
          <w:color w:val="000000"/>
          <w:sz w:val="20"/>
          <w:szCs w:val="20"/>
        </w:rPr>
        <w:t>MARCELLA FERREIRA ROSSONI ROCHA</w:t>
      </w:r>
    </w:p>
    <w:p>
      <w:pPr>
        <w:pStyle w:val="Normal"/>
        <w:jc w:val="center"/>
        <w:rPr/>
      </w:pPr>
      <w:r>
        <w:rPr>
          <w:rFonts w:eastAsia="DejaVu Sans" w:cs="Arial" w:ascii="Verdana" w:hAnsi="Verdana" w:eastAsiaTheme="majorEastAsia"/>
          <w:b/>
          <w:bCs/>
          <w:color w:val="000000"/>
          <w:sz w:val="20"/>
          <w:szCs w:val="20"/>
        </w:rPr>
        <w:t>Secretária Municipal de Saúde</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65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OpenSymbol">
    <w:altName w:val="Arial Unicode MS"/>
    <w:charset w:val="00"/>
    <w:family w:val="roman"/>
    <w:pitch w:val="variable"/>
  </w:font>
  <w:font w:name="Verdana">
    <w:charset w:val="00"/>
    <w:family w:val="roman"/>
    <w:pitch w:val="variable"/>
  </w:font>
  <w:font w:name="Symbol">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95"/>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cs="Tahoma" w:eastAsia="Segoe UI"/>
      <w:color w:val="auto"/>
      <w:kern w:val="0"/>
      <w:sz w:val="24"/>
      <w:szCs w:val="24"/>
      <w:lang w:eastAsia="pt-BR" w:val="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qFormat/>
    <w:pPr>
      <w:keepNext w:val="true"/>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paragraph" w:styleId="Heading7">
    <w:name w:val="Heading 7"/>
    <w:basedOn w:val="Normal"/>
    <w:next w:val="Normal"/>
    <w:qFormat/>
    <w:pPr>
      <w:keepNext w:val="true"/>
      <w:keepLines/>
      <w:spacing w:before="200" w:after="0"/>
      <w:outlineLvl w:val="6"/>
    </w:pPr>
    <w:rPr>
      <w:rFonts w:ascii="Cambria" w:hAnsi="Cambria" w:eastAsia="Calibri"/>
      <w:i/>
      <w:iCs/>
      <w:color w:val="404040"/>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551A8B"/>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Marcadores" w:customStyle="1">
    <w:name w:val="Marcadores"/>
    <w:qFormat/>
    <w:rPr>
      <w:rFonts w:ascii="OpenSymbol" w:hAnsi="OpenSymbol" w:eastAsia="OpenSymbol" w:cs="OpenSymbol"/>
    </w:rPr>
  </w:style>
  <w:style w:type="character" w:styleId="InternetLink5" w:customStyle="1">
    <w:name w:val="Internet Link5"/>
    <w:qFormat/>
    <w:rPr>
      <w:color w:val="000080"/>
      <w:u w:val="single"/>
    </w:rPr>
  </w:style>
  <w:style w:type="character" w:styleId="InternetLink6" w:customStyle="1">
    <w:name w:val="Internet Link6"/>
    <w:qFormat/>
    <w:rPr>
      <w:color w:val="000080"/>
      <w:u w:val="single"/>
    </w:rPr>
  </w:style>
  <w:style w:type="character" w:styleId="t286pc" w:customStyle="1">
    <w:name w:val="t286pc"/>
    <w:basedOn w:val="DefaultParagraphFont"/>
    <w:qFormat/>
    <w:rsid w:val="00cd4fcc"/>
    <w:rPr/>
  </w:style>
  <w:style w:type="character" w:styleId="WW8Num2z0" w:customStyle="1">
    <w:name w:val="WW8Num2z0"/>
    <w:qFormat/>
    <w:rPr>
      <w:rFonts w:ascii="Verdana" w:hAnsi="Verdana" w:cs="Verdana"/>
      <w:b/>
      <w:sz w:val="18"/>
    </w:rPr>
  </w:style>
  <w:style w:type="character" w:styleId="WW8Num4z0" w:customStyle="1">
    <w:name w:val="WW8Num4z0"/>
    <w:qFormat/>
    <w:rPr>
      <w:rFonts w:ascii="Symbol" w:hAnsi="Symbol" w:cs="OpenSymbol;Arial Unicode MS"/>
    </w:rPr>
  </w:style>
  <w:style w:type="character" w:styleId="WW8Num5z0" w:customStyle="1">
    <w:name w:val="WW8Num5z0"/>
    <w:qFormat/>
    <w:rPr>
      <w:rFonts w:ascii="Symbol" w:hAnsi="Symbol" w:cs="OpenSymbol;Arial Unicode MS"/>
    </w:rPr>
  </w:style>
  <w:style w:type="character" w:styleId="WW8Num6z0" w:customStyle="1">
    <w:name w:val="WW8Num6z0"/>
    <w:qFormat/>
    <w:rPr>
      <w:rFonts w:ascii="Symbol" w:hAnsi="Symbol" w:cs="OpenSymbol;Arial Unicode MS"/>
    </w:rPr>
  </w:style>
  <w:style w:type="character" w:styleId="WW8Num7z0" w:customStyle="1">
    <w:name w:val="WW8Num7z0"/>
    <w:qFormat/>
    <w:rPr>
      <w:rFonts w:ascii="Symbol" w:hAnsi="Symbol" w:cs="OpenSymbol;Arial Unicode MS"/>
    </w:rPr>
  </w:style>
  <w:style w:type="character" w:styleId="WW8Num8z0" w:customStyle="1">
    <w:name w:val="WW8Num8z0"/>
    <w:qFormat/>
    <w:rPr>
      <w:rFonts w:ascii="Symbol" w:hAnsi="Symbol" w:cs="OpenSymbol;Arial Unicode MS"/>
    </w:rPr>
  </w:style>
  <w:style w:type="character" w:styleId="WW8Num9z0" w:customStyle="1">
    <w:name w:val="WW8Num9z0"/>
    <w:qFormat/>
    <w:rPr>
      <w:rFonts w:ascii="Symbol" w:hAnsi="Symbol" w:cs="OpenSymbol;Arial Unicode MS"/>
    </w:rPr>
  </w:style>
  <w:style w:type="character" w:styleId="WW8Num3z0" w:customStyle="1">
    <w:name w:val="WW8Num3z0"/>
    <w:qFormat/>
    <w:rPr>
      <w:b/>
      <w:bCs/>
    </w:rPr>
  </w:style>
  <w:style w:type="character" w:styleId="WW8Num1z0" w:customStyle="1">
    <w:name w:val="WW8Num1z0"/>
    <w:qFormat/>
    <w:rPr>
      <w:rFonts w:ascii="Verdana" w:hAnsi="Verdana" w:cs="Verdana"/>
      <w:b/>
      <w:sz w:val="18"/>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Ttulo3Char" w:customStyle="1">
    <w:name w:val="Título 3 Char"/>
    <w:basedOn w:val="DefaultParagraphFont"/>
    <w:qFormat/>
    <w:rPr>
      <w:rFonts w:ascii="Arial" w:hAnsi="Arial" w:eastAsia="Times New Roman" w:cs="Arial"/>
      <w:b/>
      <w:bCs/>
      <w:sz w:val="26"/>
      <w:szCs w:val="26"/>
      <w:lang w:eastAsia="pt-BR"/>
    </w:rPr>
  </w:style>
  <w:style w:type="character" w:styleId="Ttulo7Char" w:customStyle="1">
    <w:name w:val="Título 7 Char"/>
    <w:basedOn w:val="DefaultParagraphFont"/>
    <w:qFormat/>
    <w:rPr>
      <w:rFonts w:ascii="Cambria" w:hAnsi="Cambria" w:eastAsia="Calibri" w:cs="Tahoma"/>
      <w:i/>
      <w:iCs/>
      <w:color w:val="404040"/>
      <w:sz w:val="24"/>
      <w:szCs w:val="24"/>
      <w:lang w:eastAsia="pt-BR"/>
    </w:rPr>
  </w:style>
  <w:style w:type="character" w:styleId="PageNumber">
    <w:name w:val="Page Number"/>
    <w:basedOn w:val="DefaultParagraphFont"/>
    <w:qFormat/>
    <w:rPr/>
  </w:style>
  <w:style w:type="character" w:styleId="NormalWebChar" w:customStyle="1">
    <w:name w:val="Normal (Web) Char"/>
    <w:qFormat/>
    <w:rPr>
      <w:rFonts w:ascii="Times New Roman" w:hAnsi="Times New Roman" w:eastAsia="Times New Roman" w:cs="Times New Roman"/>
      <w:sz w:val="24"/>
      <w:szCs w:val="24"/>
      <w:lang w:eastAsia="pt-BR"/>
    </w:rPr>
  </w:style>
  <w:style w:type="character" w:styleId="PargrafoNormalChar" w:customStyle="1">
    <w:name w:val="Parágrafo Normal Char"/>
    <w:qFormat/>
    <w:rPr>
      <w:rFonts w:ascii="Times New Roman" w:hAnsi="Times New Roman" w:eastAsia="Times New Roman" w:cs="Times New Roman"/>
      <w:sz w:val="24"/>
      <w:szCs w:val="24"/>
      <w:lang w:eastAsia="pt-BR"/>
    </w:rPr>
  </w:style>
  <w:style w:type="character" w:styleId="Strong">
    <w:name w:val="Strong"/>
    <w:qFormat/>
    <w:rPr>
      <w:b/>
      <w:bCs/>
    </w:rPr>
  </w:style>
  <w:style w:type="character" w:styleId="InternetLink7" w:customStyle="1">
    <w:name w:val="Internet Link7"/>
    <w:qFormat/>
    <w:rPr>
      <w:color w:val="000080"/>
      <w:u w:val="single"/>
    </w:rPr>
  </w:style>
  <w:style w:type="character" w:styleId="InternetLink8" w:customStyle="1">
    <w:name w:val="Internet Link8"/>
    <w:qFormat/>
    <w:rPr>
      <w:color w:val="000080"/>
      <w:u w:val="single"/>
    </w:rPr>
  </w:style>
  <w:style w:type="character" w:styleId="InternetLink9">
    <w:name w:val="Internet Link9"/>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qFormat/>
    <w:pPr>
      <w:spacing w:lineRule="auto" w:line="276" w:before="0" w:after="200"/>
      <w:ind w:left="720"/>
      <w:contextualSpacing/>
    </w:pPr>
    <w:rPr>
      <w:rFonts w:ascii="Calibri" w:hAnsi="Calibri" w:eastAsia="Calibri" w:cs="Calibri"/>
      <w:sz w:val="22"/>
      <w:szCs w:val="22"/>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customStyle="1">
    <w:name w:val="Cabeçalho e rodapé6"/>
    <w:basedOn w:val="Normal"/>
    <w:qFormat/>
    <w:pPr/>
    <w:rPr/>
  </w:style>
  <w:style w:type="paragraph" w:styleId="Cabealhoerodap7" w:customStyle="1">
    <w:name w:val="Cabeçalho e rodapé7"/>
    <w:basedOn w:val="Normal"/>
    <w:qFormat/>
    <w:pPr/>
    <w:rPr/>
  </w:style>
  <w:style w:type="paragraph" w:styleId="Cabealhoerodap8" w:customStyle="1">
    <w:name w:val="Cabeçalho e rodapé8"/>
    <w:basedOn w:val="Normal"/>
    <w:qFormat/>
    <w:pPr/>
    <w:rPr/>
  </w:style>
  <w:style w:type="paragraph" w:styleId="Cabealhoerodap9" w:customStyle="1">
    <w:name w:val="Cabeçalho e rodapé9"/>
    <w:basedOn w:val="Normal"/>
    <w:qFormat/>
    <w:pPr/>
    <w:rPr/>
  </w:style>
  <w:style w:type="paragraph" w:styleId="Cabealhoerodap10" w:customStyle="1">
    <w:name w:val="Cabeçalho e rodapé10"/>
    <w:basedOn w:val="Normal"/>
    <w:qFormat/>
    <w:pPr/>
    <w:rPr/>
  </w:style>
  <w:style w:type="paragraph" w:styleId="Cabealhoerodap11" w:customStyle="1">
    <w:name w:val="Cabeçalho e rodapé11"/>
    <w:basedOn w:val="Normal"/>
    <w:qFormat/>
    <w:pPr/>
    <w:rPr/>
  </w:style>
  <w:style w:type="paragraph" w:styleId="Cabealhoerodap12" w:customStyle="1">
    <w:name w:val="Cabeçalho e rodapé12"/>
    <w:basedOn w:val="Normal"/>
    <w:qFormat/>
    <w:pPr/>
    <w:rPr/>
  </w:style>
  <w:style w:type="paragraph" w:styleId="Cabealhoerodap13" w:customStyle="1">
    <w:name w:val="Cabeçalho e rodapé13"/>
    <w:basedOn w:val="Normal"/>
    <w:qFormat/>
    <w:pPr/>
    <w:rPr/>
  </w:style>
  <w:style w:type="paragraph" w:styleId="Cabealhoerodap14" w:customStyle="1">
    <w:name w:val="Cabeçalho e rodapé14"/>
    <w:basedOn w:val="Normal"/>
    <w:qFormat/>
    <w:pPr/>
    <w:rPr/>
  </w:style>
  <w:style w:type="paragraph" w:styleId="Cabealhoerodap15">
    <w:name w:val="Cabeçalho e rodapé15"/>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cs="Calibri" w:eastAsia="Segoe U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Contedodatabela" w:customStyle="1">
    <w:name w:val="Conteúdo da tabela"/>
    <w:basedOn w:val="Normal"/>
    <w:qFormat/>
    <w:pPr>
      <w:widowControl w:val="false"/>
      <w:suppressLineNumbers/>
    </w:pPr>
    <w:rPr/>
  </w:style>
  <w:style w:type="paragraph" w:styleId="Ttulodetabela" w:customStyle="1">
    <w:name w:val="Título de tabela"/>
    <w:basedOn w:val="Contedodatabela"/>
    <w:qFormat/>
    <w:pPr>
      <w:jc w:val="center"/>
    </w:pPr>
    <w:rPr>
      <w:b/>
      <w:bCs/>
    </w:rPr>
  </w:style>
  <w:style w:type="paragraph" w:styleId="Normal1" w:customStyle="1">
    <w:name w:val="Normal1"/>
    <w:qFormat/>
    <w:pPr>
      <w:widowControl/>
      <w:suppressAutoHyphens w:val="true"/>
      <w:bidi w:val="0"/>
      <w:spacing w:before="0" w:after="0"/>
      <w:jc w:val="left"/>
    </w:pPr>
    <w:rPr>
      <w:rFonts w:ascii="Times New Roman" w:hAnsi="Times New Roman" w:eastAsia="Segoe UI" w:cs="Times New Roman"/>
      <w:color w:val="auto"/>
      <w:kern w:val="0"/>
      <w:sz w:val="20"/>
      <w:szCs w:val="20"/>
      <w:lang w:val="pt-BR" w:eastAsia="en-US" w:bidi="ar-SA"/>
    </w:rPr>
  </w:style>
  <w:style w:type="paragraph" w:styleId="caption1" w:customStyle="1">
    <w:name w:val="caption1"/>
    <w:basedOn w:val="Normal"/>
    <w:qFormat/>
    <w:pPr>
      <w:suppressLineNumbers/>
      <w:spacing w:before="120" w:after="120"/>
    </w:pPr>
    <w:rPr>
      <w:rFonts w:cs="Arial"/>
      <w:i/>
      <w:iCs/>
    </w:rPr>
  </w:style>
  <w:style w:type="paragraph" w:styleId="Corpodetexto21" w:customStyle="1">
    <w:name w:val="Corpo de texto 21"/>
    <w:basedOn w:val="Normal"/>
    <w:qFormat/>
    <w:pPr>
      <w:tabs>
        <w:tab w:val="clear" w:pos="708"/>
        <w:tab w:val="left" w:pos="0" w:leader="none"/>
        <w:tab w:val="left" w:pos="1134" w:leader="none"/>
      </w:tabs>
      <w:jc w:val="both"/>
      <w:textAlignment w:val="baseline"/>
    </w:pPr>
    <w:rPr>
      <w:rFonts w:ascii="Arial" w:hAnsi="Arial" w:cs="Arial"/>
      <w:szCs w:val="20"/>
    </w:rPr>
  </w:style>
  <w:style w:type="paragraph" w:styleId="NmerosPrincipais" w:customStyle="1">
    <w:name w:val="Números Principais"/>
    <w:basedOn w:val="Normal"/>
    <w:qFormat/>
    <w:pPr>
      <w:spacing w:before="120" w:after="240"/>
      <w:jc w:val="both"/>
    </w:pPr>
    <w:rPr/>
  </w:style>
  <w:style w:type="paragraph" w:styleId="LetrasMultinvel" w:customStyle="1">
    <w:name w:val="Letras Multinível"/>
    <w:basedOn w:val="BodyText"/>
    <w:qFormat/>
    <w:pPr>
      <w:jc w:val="both"/>
    </w:pPr>
    <w:rPr/>
  </w:style>
  <w:style w:type="paragraph" w:styleId="PargrafoNormal" w:customStyle="1">
    <w:name w:val="Parágrafo Normal"/>
    <w:basedOn w:val="Normal"/>
    <w:qFormat/>
    <w:pPr>
      <w:spacing w:before="0" w:after="120"/>
      <w:jc w:val="both"/>
    </w:pPr>
    <w:rPr/>
  </w:style>
  <w:style w:type="paragraph" w:styleId="Contedodoquadro" w:customStyle="1">
    <w:name w:val="Conteúdo do quadro"/>
    <w:basedOn w:val="Normal"/>
    <w:qFormat/>
    <w:pPr/>
    <w:rPr/>
  </w:style>
  <w:style w:type="paragraph" w:styleId="Normal2" w:customStyle="1">
    <w:name w:val="Normal2"/>
    <w:qFormat/>
    <w:pPr>
      <w:widowControl/>
      <w:suppressAutoHyphens w:val="true"/>
      <w:bidi w:val="0"/>
      <w:spacing w:before="0" w:after="0"/>
      <w:jc w:val="left"/>
    </w:pPr>
    <w:rPr>
      <w:rFonts w:ascii="Times New Roman" w:hAnsi="Times New Roman" w:eastAsia="Segoe UI" w:cs="Times New Roman"/>
      <w:color w:val="auto"/>
      <w:kern w:val="0"/>
      <w:sz w:val="20"/>
      <w:szCs w:val="20"/>
      <w:lang w:val="pt-BR" w:eastAsia="en-US" w:bidi="ar-SA"/>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3820</TotalTime>
  <Application>LibreOffice/24.2.6.2$Windows_X86_64 LibreOffice_project/ef66aa7e36a1bb8e65bfbc63aba53045a14d0871</Application>
  <AppVersion>15.0000</AppVersion>
  <Pages>15</Pages>
  <Words>8063</Words>
  <Characters>45575</Characters>
  <CharactersWithSpaces>53264</CharactersWithSpaces>
  <Paragraphs>310</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2026-03-06T11:05:00Z</cp:lastPrinted>
  <dcterms:modified xsi:type="dcterms:W3CDTF">2026-08-14T09:24:17Z</dcterms:modified>
  <cp:revision>179</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